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УТВЕРЖДЕН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Распоряжением председателя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Контрольно-счётной палаты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«Тулунский район»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от 28.12.2020г.  №13-од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2021 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0053" w:type="dxa"/>
        <w:jc w:val="left"/>
        <w:tblInd w:w="-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512"/>
        <w:gridCol w:w="5044"/>
        <w:gridCol w:w="2152"/>
        <w:gridCol w:w="2344"/>
      </w:tblGrid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  <w:p>
            <w:pPr>
              <w:pStyle w:val="Normal"/>
              <w:jc w:val="center"/>
              <w:rPr/>
            </w:pPr>
            <w:r>
              <w:rPr/>
              <w:t>исполнители</w:t>
            </w:r>
          </w:p>
        </w:tc>
      </w:tr>
      <w:tr>
        <w:trPr>
          <w:trHeight w:val="3811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Организационная деятельность КСП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совещаниях, проводимых мэром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заседаниях Думы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заседаниях  административного Совета администрации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заседаниях постоянных депутатских комиссий  (при необходимости).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Проведение экономической учебы в КСП.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Разработка внутренних документов,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регламентирующих деятельность КСП муниципального образования «Тулунский район»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Проведение служебных совещаний КСП.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Разработка и утверждение плана работы КСП на </w:t>
            </w:r>
            <w:r>
              <w:rPr>
                <w:lang w:val="en-US"/>
              </w:rPr>
              <w:t>II</w:t>
            </w:r>
            <w:r>
              <w:rPr/>
              <w:t xml:space="preserve"> полугодие 2021г.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Взаимодействие с контрольно-счетными органами муниципальных образований, КСП Иркутской области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расширенном заседании Президиума Совета КСО ИР.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Контрольная деятельность КСП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Подготовка к проведению проверок муниципальных учреждений, внешней проверке отчета об исполнении бюджета Тулунского муниципального района, экспертно-аналитическим и другим мероприятиям (изучение необходимых законодательных и других нормативно- 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Внешняя проверка бюджетной отчетности главных администраторов бюджетных средств бюджета Тулунского муниципального района за 2020 год: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 Думы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Администрации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финансам администрации Тулунского муниципального 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образованию администрации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культуре, молодежной политике и спорту администрации Тулунского муниципального района.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 xml:space="preserve"> </w:t>
            </w:r>
            <w:r>
              <w:rPr/>
              <w:t xml:space="preserve">Внешняя проверка бюджетной отчетности главных администраторов бюджетных средств бюджетов сельских поселений  за 2020 год: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- Алгатуйского;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  <w:t xml:space="preserve">Проверка соблюдения бюджетного законодательства при составлении, утверждении и исполнении бюджета Ишидейского сельского поселения за 2020 год и истекший период 2021 года, проверка выполнения Федеральных законов от 25.12.2008г. №273-ФЗ «О противодействии коррупции» и от 05.04.2013г.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Контроль за исполнением предложений  Контрольно-счетной палаты по актам и заключениям.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  <w:u w:val="single"/>
              </w:rPr>
              <w:t>Экспертно-аналитическая деятельность КСП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Экспертиза годового отчета за 2020 год об исполнении бюджета Тулунского муниципального района с учетом  внешней проверки бюджетной отчетности главных администраторов бюджетных средств с выходным документом – заключением по результатам внешней проверки отчета об исполнении бюджета Тулунского муници-пального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Экспертиза годовых отчетов за 2020 год об исполнении бюджетов сельских  поселений с учетом  внешней проверки бюджетной отчетности главных администраторов бюджетных средств с выходными документами – заключениями по результатам внешних проверок отчетов об исполнении бюджетов сельских поселений: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- Алгатуйского;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Проведение экспертизы проектов решений Думы Тулунского муниципального района по поручению председателя Думы  Тулунского муниципального района.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>Мониторинг формирования и использования бюджетных ассигнований муниципальных дорожных фондов муниципальных образований Тулунского муниципального района: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iberation Serif;Times New Roman" w:cs="Times New Roman"/>
                <w:sz w:val="24"/>
                <w:szCs w:val="24"/>
              </w:rPr>
              <w:t>за  2020 год,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Liberation Serif;Times New Roman" w:cs="Times New Roman"/>
                <w:sz w:val="24"/>
                <w:szCs w:val="24"/>
              </w:rPr>
              <w:t xml:space="preserve">за </w:t>
            </w:r>
            <w:r>
              <w:rPr>
                <w:rFonts w:eastAsia="Liberation Serif;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Liberation Serif;Times New Roman" w:cs="Times New Roman"/>
                <w:sz w:val="24"/>
                <w:szCs w:val="24"/>
                <w:lang w:val="ru-RU"/>
              </w:rPr>
              <w:t>квартал 2021  года.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bookmarkStart w:id="0" w:name="__DdeLink__351_1793277235"/>
            <w:bookmarkEnd w:id="0"/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 (в рамках проведения контрольных мероприятий).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Autospacing="1"/>
              <w:ind w:firstLine="284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  <w:u w:val="none"/>
              </w:rPr>
              <w:t>Анализ использования 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</w:t>
            </w:r>
            <w:bookmarkStart w:id="1" w:name="_GoBack"/>
            <w:bookmarkEnd w:id="1"/>
            <w:r>
              <w:rPr>
                <w:b w:val="false"/>
                <w:bCs w:val="false"/>
                <w:sz w:val="25"/>
                <w:szCs w:val="25"/>
                <w:u w:val="none"/>
              </w:rPr>
              <w:t>ипальных районов (городских округов) Иркутской области в муниципальном образовании «Тулунский район» (</w:t>
            </w:r>
            <w:r>
              <w:rPr>
                <w:b w:val="false"/>
                <w:bCs w:val="false"/>
                <w:i/>
                <w:sz w:val="25"/>
                <w:szCs w:val="25"/>
                <w:u w:val="none"/>
              </w:rPr>
              <w:t>совместное (параллельное) мероприятие с КСП Иркутской области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Подготовка Отчета о деятельности КСП МО «Тулунский район», направляемого в Контрольно-счётную палату Иркутской области: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за 2020 г.,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первый квартал 2021г.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Подготовка проекта решения Думы  Тулунского муниципального района «Отчет </w:t>
            </w:r>
            <w:r>
              <w:rPr>
                <w:spacing w:val="20"/>
                <w:sz w:val="24"/>
                <w:szCs w:val="24"/>
              </w:rPr>
              <w:t xml:space="preserve"> о деятельности Контрольно-счетной палаты муниципального образования «Тулунский район»</w:t>
            </w:r>
            <w:r>
              <w:rPr>
                <w:sz w:val="24"/>
                <w:szCs w:val="24"/>
              </w:rPr>
              <w:t xml:space="preserve"> за 2020 год».</w:t>
            </w:r>
          </w:p>
          <w:p>
            <w:pPr>
              <w:pStyle w:val="Normal"/>
              <w:spacing w:lineRule="auto" w:line="24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/>
              <w:t>Подготовка отчета по итогам проверки соблюдения бюджетного законодательства при составлении, утверждении и исполнении бюджета Ишидейского сельского поселения за 2020 год и истекший период 2021 года 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Тулунского муниципального района от 12.07.2012г.  № 2-П).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Подготовка отчетов и информаций по запросам Контрольно-счетной палаты Иркутской области.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Подготовка представлений и предложений по результатам контрольных мероприятий и направление их руководителям проверяемых учреждений и организаций. </w:t>
            </w:r>
          </w:p>
          <w:p>
            <w:pPr>
              <w:pStyle w:val="Normal"/>
              <w:tabs>
                <w:tab w:val="left" w:pos="1620" w:leader="none"/>
              </w:tabs>
              <w:spacing w:lineRule="auto" w: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Представление мэру Тулунского района и председателю Думы Тулунского муници-пального района информаций, актов и представлений  о проведенных контрольных и экспертно-аналитических мероприятиях.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Представление материалов проверок в Тулунскую межрайонную прокуратуру, МО МВД России «Тулунский», в Тулунский межрайонный следственный отдел СУ СК РФ по Иркутской области (при необходимости).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Подготовка материалов КСП для  размещения на сайте администрации Тулунского муниципального района и для публикаций в </w:t>
            </w:r>
            <w:r>
              <w:rPr>
                <w:spacing w:val="20"/>
              </w:rPr>
              <w:t>информационном бюллетене «Вестник Тулунского района»</w:t>
            </w:r>
            <w:r>
              <w:rPr/>
              <w:t>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 xml:space="preserve">Подготовка справочных и информационных материалов к контрольным и экспертно-аналитическим мероприятиям КСП муниципального образования «Тулунский район»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Рассмотрение материалов по результатам ревизий и проверок КСП на планово-бюджетной и других депутатских комиссиях,  на  заседаниях Думы Тулунского муниципаль-ного района (при необходимости).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Участие в семинарах, совещаниях, видеоконференциях и иных мероприятиях.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jc w:val="left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Материально-техническое обеспечение КСП</w:t>
            </w:r>
          </w:p>
          <w:p>
            <w:pPr>
              <w:pStyle w:val="Normal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Ведение делопроизводства КСП</w:t>
            </w:r>
          </w:p>
          <w:p>
            <w:pPr>
              <w:pStyle w:val="Normal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Работа с входящими и исходящими документами, письмами, жалобами.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  <w:t>Подготовка документов КСП для передачи в  архив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2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  <w:t>Осуществление закупок товаров, работ, услуг для обеспечения муниципальных нужд КСП МО «Тулунский район».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  <w:r>
              <w:rPr/>
              <w:t xml:space="preserve">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 плану КСП            Иркутской   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течение 5 дней до начала контрольного мероприятия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2" w:name="__DdeLink__2104_42717312"/>
            <w:bookmarkEnd w:id="2"/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          полугодия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1593" w:leader="none"/>
              </w:tabs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</w:t>
            </w: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3" w:name="__DdeLink__451_1804867138"/>
            <w:bookmarkEnd w:id="3"/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4" w:name="__DdeLink__485_1789145608"/>
            <w:bookmarkEnd w:id="4"/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bookmarkStart w:id="5" w:name="__DdeLink__485_17891456081"/>
            <w:bookmarkEnd w:id="5"/>
            <w:r>
              <w:rPr/>
              <w:t>----//----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6" w:name="__DdeLink__346_2741251636"/>
            <w:bookmarkStart w:id="7" w:name="__DdeLink__346_2741251636"/>
            <w:bookmarkEnd w:id="7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bookmarkStart w:id="8" w:name="__DdeLink__618_1707057838"/>
            <w:bookmarkStart w:id="9" w:name="__DdeLink__618_1707057838"/>
            <w:bookmarkEnd w:id="9"/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88" w:right="964" w:header="0" w:top="539" w:footer="709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enter" w:pos="4677" w:leader="none"/>
        <w:tab w:val="left" w:pos="7103" w:leader="none"/>
        <w:tab w:val="right" w:pos="9355" w:leader="none"/>
      </w:tabs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0172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1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80.95pt;margin-top:0.05pt;width:86.6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ab/>
    </w:r>
  </w:p>
</w:ftr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1a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6923"/>
    <w:rPr/>
  </w:style>
  <w:style w:type="character" w:styleId="Style14" w:customStyle="1">
    <w:name w:val="Верхний колонтитул Знак"/>
    <w:basedOn w:val="DefaultParagraphFont"/>
    <w:link w:val="a8"/>
    <w:qFormat/>
    <w:rsid w:val="008869d8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c12e3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4d6923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b21b0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6750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1">
    <w:name w:val="Header"/>
    <w:basedOn w:val="Normal"/>
    <w:link w:val="a9"/>
    <w:rsid w:val="008869d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"/>
    <w:basedOn w:val="Normal"/>
    <w:uiPriority w:val="99"/>
    <w:qFormat/>
    <w:rsid w:val="00bb7b9a"/>
    <w:pPr/>
    <w:rPr>
      <w:rFonts w:ascii="Verdana" w:hAnsi="Verdana" w:cs="Verdana"/>
      <w:sz w:val="20"/>
      <w:szCs w:val="20"/>
      <w:lang w:val="en-US"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363f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B6C-DC11-424E-8AB5-52DE2FC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Application>LibreOffice/5.2.6.2$Windows_x86 LibreOffice_project/a3100ed2409ebf1c212f5048fbe377c281438fdc</Application>
  <Pages>6</Pages>
  <Words>1067</Words>
  <Characters>7628</Characters>
  <CharactersWithSpaces>9098</CharactersWithSpaces>
  <Paragraphs>251</Paragraphs>
  <Company>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2015-01-13T02:00:00Z</dcterms:created>
  <dc:creator>LORA</dc:creator>
  <dc:description/>
  <dc:language>ru-RU</dc:language>
  <cp:lastModifiedBy/>
  <cp:lastPrinted>2020-12-28T14:15:35Z</cp:lastPrinted>
  <dcterms:modified xsi:type="dcterms:W3CDTF">2021-01-12T14:22:35Z</dcterms:modified>
  <cp:revision>83</cp:revision>
  <dc:subject/>
  <dc:title>Объем сточных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